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3" w:firstLineChars="200"/>
        <w:rPr>
          <w:b/>
        </w:rPr>
      </w:pPr>
    </w:p>
    <w:p>
      <w:pPr>
        <w:spacing w:line="600" w:lineRule="exact"/>
        <w:ind w:firstLine="643" w:firstLineChars="200"/>
        <w:rPr>
          <w:b/>
        </w:rPr>
      </w:pPr>
    </w:p>
    <w:p>
      <w:pPr>
        <w:spacing w:line="400" w:lineRule="exact"/>
        <w:ind w:firstLine="643" w:firstLineChars="200"/>
        <w:jc w:val="center"/>
        <w:rPr>
          <w:b/>
        </w:rPr>
      </w:pPr>
    </w:p>
    <w:p>
      <w:pPr>
        <w:spacing w:line="570" w:lineRule="exact"/>
        <w:jc w:val="center"/>
        <w:outlineLvl w:val="0"/>
        <w:rPr>
          <w:rFonts w:hint="default" w:ascii="方正小标宋简体" w:eastAsia="方正小标宋简体"/>
          <w:b/>
          <w:sz w:val="44"/>
          <w:szCs w:val="44"/>
          <w:lang w:val="en-US" w:eastAsia="zh-CN"/>
        </w:rPr>
      </w:pPr>
      <w:r>
        <w:rPr>
          <w:rFonts w:hint="eastAsia" w:ascii="方正小标宋简体" w:eastAsia="方正小标宋简体"/>
          <w:b/>
          <w:sz w:val="44"/>
          <w:szCs w:val="44"/>
          <w:lang w:val="en-US" w:eastAsia="zh-CN"/>
        </w:rPr>
        <w:t>市发改委“双随机一公开”抽查计划</w:t>
      </w:r>
    </w:p>
    <w:p>
      <w:pPr>
        <w:spacing w:line="570" w:lineRule="exact"/>
        <w:ind w:firstLine="643" w:firstLineChars="200"/>
        <w:rPr>
          <w:b/>
        </w:rPr>
      </w:pPr>
    </w:p>
    <w:p>
      <w:pPr>
        <w:spacing w:line="570" w:lineRule="exact"/>
        <w:rPr>
          <w:b/>
        </w:rPr>
      </w:pPr>
    </w:p>
    <w:p>
      <w:pPr>
        <w:spacing w:line="570" w:lineRule="exact"/>
        <w:ind w:firstLine="643" w:firstLineChars="200"/>
        <w:rPr>
          <w:b/>
        </w:rPr>
      </w:pPr>
      <w:r>
        <w:rPr>
          <w:rFonts w:hint="eastAsia"/>
          <w:b/>
        </w:rPr>
        <w:t>为全面做好委审批事项的事中事后监管工作，按照《济宁市发展改革系统全面推行“双随机、一公开”监管实施方案》（济发改评督〔2019〕358号）</w:t>
      </w:r>
      <w:bookmarkStart w:id="0" w:name="_GoBack"/>
      <w:bookmarkEnd w:id="0"/>
      <w:r>
        <w:rPr>
          <w:rFonts w:hint="eastAsia"/>
          <w:b/>
        </w:rPr>
        <w:t>等要求，结合事中事后监管工作实际，现就加强事中事后监管强调如下：</w:t>
      </w:r>
    </w:p>
    <w:p>
      <w:pPr>
        <w:spacing w:line="570" w:lineRule="exact"/>
        <w:ind w:firstLine="643" w:firstLineChars="200"/>
        <w:outlineLvl w:val="0"/>
        <w:rPr>
          <w:rFonts w:ascii="方正黑体简体" w:eastAsia="方正黑体简体"/>
          <w:b/>
        </w:rPr>
      </w:pPr>
      <w:r>
        <w:rPr>
          <w:rFonts w:hint="eastAsia" w:ascii="方正黑体简体" w:eastAsia="方正黑体简体"/>
          <w:b/>
        </w:rPr>
        <w:t>一、定期更新完善市级检查对象分类专项名录库</w:t>
      </w:r>
    </w:p>
    <w:p>
      <w:pPr>
        <w:spacing w:line="570" w:lineRule="exact"/>
        <w:ind w:firstLine="643" w:firstLineChars="200"/>
        <w:rPr>
          <w:b/>
        </w:rPr>
      </w:pPr>
      <w:r>
        <w:rPr>
          <w:rFonts w:hint="eastAsia"/>
          <w:b/>
        </w:rPr>
        <w:t>各有关科室要对照随机抽查事项清单和检查对象分类专项名录库数据标准，及时梳理更新2019年以来市级行政检查对象，分别建立市级检查对象分类专项名录库。</w:t>
      </w:r>
    </w:p>
    <w:p>
      <w:pPr>
        <w:spacing w:line="570" w:lineRule="exact"/>
        <w:ind w:firstLine="643" w:firstLineChars="200"/>
        <w:rPr>
          <w:b/>
        </w:rPr>
      </w:pPr>
      <w:r>
        <w:rPr>
          <w:rFonts w:hint="eastAsia"/>
          <w:b/>
        </w:rPr>
        <w:t>“已开工企业投资核准项目市级行政检查对象专项名录库”和“已开工企业投资备案项目市级行政检查对象专项名录库”由评估督导科牵头负责；“政府投资重大建设项目市级监督管理和招标投标市级监督检查对象专项名录库”由固定资产投资科、经济体制综合改革科负责。以上名录库由责任科室分别导入“山东省政府部门联合‘双随机、一公开’监管工作平台”（以下简称省工作平合）。“粮食流通监督检查市级行政检查对象名录库”由粮食和物资储备监督检查科按照省粮食和物资储备局关于“双随机、一公开”监管工作的要求更新。（完成时限：每年8月底前）</w:t>
      </w:r>
    </w:p>
    <w:p>
      <w:pPr>
        <w:spacing w:line="570" w:lineRule="exact"/>
        <w:ind w:firstLine="643" w:firstLineChars="200"/>
        <w:outlineLvl w:val="0"/>
        <w:rPr>
          <w:rFonts w:ascii="方正黑体简体" w:eastAsia="方正黑体简体"/>
          <w:b/>
        </w:rPr>
      </w:pPr>
      <w:r>
        <w:rPr>
          <w:rFonts w:hint="eastAsia" w:ascii="方正黑体简体" w:eastAsia="方正黑体简体"/>
          <w:b/>
        </w:rPr>
        <w:t>二、及时补充调整市级执法检查人员名录库</w:t>
      </w:r>
    </w:p>
    <w:p>
      <w:pPr>
        <w:spacing w:line="570" w:lineRule="exact"/>
        <w:ind w:firstLine="643" w:firstLineChars="200"/>
        <w:rPr>
          <w:b/>
        </w:rPr>
      </w:pPr>
      <w:r>
        <w:rPr>
          <w:rFonts w:hint="eastAsia"/>
          <w:b/>
        </w:rPr>
        <w:t>“市发展改革委执法检查人员名录库”由市发展改革委政策法规科负责，由市发展改革委及直属单位中，具有行政执法资格的公务员和工作人员组成。</w:t>
      </w:r>
    </w:p>
    <w:p>
      <w:pPr>
        <w:spacing w:line="570" w:lineRule="exact"/>
        <w:ind w:firstLine="643" w:firstLineChars="200"/>
        <w:rPr>
          <w:b/>
        </w:rPr>
      </w:pPr>
      <w:r>
        <w:rPr>
          <w:rFonts w:hint="eastAsia"/>
          <w:b/>
        </w:rPr>
        <w:t>应积极协调本级司法行政部门，加强执法人员培训，统筹推进行政执法资格认证，拓宽执法检查人员名录库选择范围，不断提升综合执法能力和水平。</w:t>
      </w:r>
    </w:p>
    <w:p>
      <w:pPr>
        <w:spacing w:line="570" w:lineRule="exact"/>
        <w:ind w:firstLine="643" w:firstLineChars="200"/>
        <w:rPr>
          <w:b/>
        </w:rPr>
      </w:pPr>
      <w:r>
        <w:rPr>
          <w:rFonts w:hint="eastAsia"/>
          <w:b/>
        </w:rPr>
        <w:t>政策法规科要全面梳理市发展改革委具有行政执法资格的公务员和工作人员，按照执法资质，从事岗位类别、业务专长等，对照执法检查人员名录库建设标准。及时补充调整“市发展改革委执法检查人员名录库”，并导入省工作平台。（完成时限：每年8月底前）</w:t>
      </w:r>
    </w:p>
    <w:p>
      <w:pPr>
        <w:spacing w:line="570" w:lineRule="exact"/>
        <w:ind w:firstLine="643" w:firstLineChars="200"/>
        <w:outlineLvl w:val="0"/>
        <w:rPr>
          <w:rFonts w:ascii="方正黑体简体" w:eastAsia="方正黑体简体"/>
          <w:b/>
        </w:rPr>
      </w:pPr>
      <w:r>
        <w:rPr>
          <w:rFonts w:hint="eastAsia" w:ascii="方正黑体简体" w:eastAsia="方正黑体简体"/>
          <w:b/>
        </w:rPr>
        <w:t>三、做好年度双随机监管工作</w:t>
      </w:r>
    </w:p>
    <w:p>
      <w:pPr>
        <w:spacing w:line="570" w:lineRule="exact"/>
        <w:ind w:firstLine="643" w:firstLineChars="200"/>
        <w:rPr>
          <w:b/>
        </w:rPr>
      </w:pPr>
      <w:r>
        <w:rPr>
          <w:rFonts w:hint="eastAsia"/>
          <w:b/>
        </w:rPr>
        <w:t>根据监管需要确定检查频次的抽查事项由名录库责任科室结合实际组织开展抽查检查。抽查频次为每年一次的抽查事项于每年9月份完成，按以下程序和要求推进：</w:t>
      </w:r>
    </w:p>
    <w:p>
      <w:pPr>
        <w:spacing w:line="570" w:lineRule="exact"/>
        <w:ind w:firstLine="643" w:firstLineChars="200"/>
        <w:rPr>
          <w:b/>
        </w:rPr>
      </w:pPr>
      <w:r>
        <w:rPr>
          <w:rFonts w:hint="eastAsia" w:ascii="方正楷体简体" w:eastAsia="方正楷体简体"/>
          <w:b/>
        </w:rPr>
        <w:t>1、确定抽查具体对象名单。</w:t>
      </w:r>
      <w:r>
        <w:rPr>
          <w:rFonts w:hint="eastAsia"/>
          <w:b/>
        </w:rPr>
        <w:t>委机关有关责任科室按照《济宁市人民政府办公室关于印发济宁市贯彻落实省政府办公厅实施流程再造推进“一窗受理一次办好”改革十条意见的实施方案的通知》（济政办字[2019]43号）确定的“双随机抽查覆盖企业比例不低于5%”的要求，分别从省工作平台的抽查系统中，随机抽取各自的行政检查对象，生成市发展改革委内部双随机抽查具体对象名单。</w:t>
      </w:r>
    </w:p>
    <w:p>
      <w:pPr>
        <w:spacing w:line="570" w:lineRule="exact"/>
        <w:ind w:firstLine="643" w:firstLineChars="200"/>
        <w:rPr>
          <w:b/>
        </w:rPr>
      </w:pPr>
      <w:r>
        <w:rPr>
          <w:rFonts w:hint="eastAsia" w:ascii="方正楷体简体" w:eastAsia="方正楷体简体"/>
          <w:b/>
        </w:rPr>
        <w:t>2、确定抽查执法检查人员名单。</w:t>
      </w:r>
      <w:r>
        <w:rPr>
          <w:rFonts w:hint="eastAsia"/>
          <w:b/>
        </w:rPr>
        <w:t>政策法规科从省工作平台的抽查系统中，随机抽取执法检查人员，生成双随机抽查执法检查人员名单。同时，匹配双随机抽查对象名单，组成若干个检查组。检查组可另外安排具体业务科室专业人员参与。</w:t>
      </w:r>
    </w:p>
    <w:p>
      <w:pPr>
        <w:spacing w:line="570" w:lineRule="exact"/>
        <w:ind w:firstLine="643" w:firstLineChars="200"/>
        <w:rPr>
          <w:b/>
        </w:rPr>
      </w:pPr>
      <w:r>
        <w:rPr>
          <w:rFonts w:hint="eastAsia" w:ascii="方正楷体简体" w:eastAsia="方正楷体简体"/>
          <w:b/>
        </w:rPr>
        <w:t>3、开展执法检查并公示检查结果。</w:t>
      </w:r>
      <w:r>
        <w:rPr>
          <w:rFonts w:hint="eastAsia"/>
          <w:b/>
        </w:rPr>
        <w:t>各检查组根据《济宁市发展改革系统“双随机、一公开”监管随机抽查事项清单》确定的“抽查内容”分别开展执法检查；检查中发现的有关问题或问题线索，应当及时告知相关业务科室。由检查组全体人员签字确认并经所在科室负责人同意后，形成最终检查结果，及时通过省工作平台和国家企业信用信息公示系统（山东）进行公示。</w:t>
      </w:r>
    </w:p>
    <w:p>
      <w:pPr>
        <w:spacing w:line="570" w:lineRule="exact"/>
        <w:ind w:firstLine="643" w:firstLineChars="200"/>
        <w:outlineLvl w:val="0"/>
        <w:rPr>
          <w:rFonts w:ascii="方正黑体简体" w:eastAsia="方正黑体简体"/>
          <w:b/>
        </w:rPr>
      </w:pPr>
      <w:r>
        <w:rPr>
          <w:rFonts w:hint="eastAsia" w:ascii="方正黑体简体" w:eastAsia="方正黑体简体"/>
          <w:b/>
        </w:rPr>
        <w:t>四、公示后续处理信息</w:t>
      </w:r>
    </w:p>
    <w:p>
      <w:pPr>
        <w:spacing w:line="570" w:lineRule="exact"/>
        <w:ind w:firstLine="643" w:firstLineChars="200"/>
        <w:rPr>
          <w:b/>
        </w:rPr>
      </w:pPr>
      <w:r>
        <w:rPr>
          <w:rFonts w:hint="eastAsia"/>
          <w:b/>
        </w:rPr>
        <w:t>2021年度市发展改革委内部双随机监管中，涉及企业的后续处理作出的一般性行政处罚等信息，由作出一般性行政处罚决定的相关科室通过省工作平台和国家企业信用信息公示系统（山东）进行公示。（完成时限：每年9月）</w:t>
      </w:r>
    </w:p>
    <w:p>
      <w:pPr>
        <w:spacing w:line="570" w:lineRule="exact"/>
        <w:ind w:firstLine="643" w:firstLineChars="200"/>
        <w:outlineLvl w:val="0"/>
        <w:rPr>
          <w:rFonts w:ascii="方正黑体简体" w:eastAsia="方正黑体简体"/>
          <w:b/>
        </w:rPr>
      </w:pPr>
      <w:r>
        <w:rPr>
          <w:rFonts w:hint="eastAsia" w:ascii="方正黑体简体" w:eastAsia="方正黑体简体"/>
          <w:b/>
        </w:rPr>
        <w:t>五、编制下一年度抽查计划</w:t>
      </w:r>
    </w:p>
    <w:p>
      <w:pPr>
        <w:spacing w:line="570" w:lineRule="exact"/>
        <w:ind w:firstLine="643" w:firstLineChars="200"/>
        <w:rPr>
          <w:b/>
        </w:rPr>
      </w:pPr>
      <w:r>
        <w:rPr>
          <w:rFonts w:hint="eastAsia"/>
          <w:b/>
        </w:rPr>
        <w:t>各有关科室对照抽查事项清单，结合监管工作需求，研究制定下一年度市发展改革委“双随机、一公开”抽查工作计划，由评估督导科汇总报市市场监管局备案，并通过国家企业信用信息公示系统（山东）和本级门户网站向社会公开。（完成时限：次年1月）</w:t>
      </w:r>
    </w:p>
    <w:p>
      <w:pPr>
        <w:spacing w:line="570" w:lineRule="exact"/>
        <w:ind w:firstLine="643" w:firstLineChars="200"/>
        <w:rPr>
          <w:b/>
        </w:rPr>
      </w:pPr>
      <w:r>
        <w:rPr>
          <w:rFonts w:hint="eastAsia"/>
          <w:b/>
        </w:rPr>
        <w:t>请各有关科室高度重视，严格按照通知要求的重点工作和完成时限开展工作，确保我委“双随机、一公开”监管工作有序推进。充分运用“通过全国投资项目在线审批监管平台”等渠道，落实日常监管责任，对重点项目监管不受“双随机一公开”监管次数和频次限制。“审批监管平台”账号的申请与分配管理由投资科负责。</w:t>
      </w:r>
    </w:p>
    <w:p>
      <w:pPr>
        <w:spacing w:line="570" w:lineRule="exact"/>
        <w:ind w:firstLine="643" w:firstLineChars="200"/>
        <w:rPr>
          <w:b/>
        </w:rPr>
      </w:pPr>
    </w:p>
    <w:p>
      <w:pPr>
        <w:spacing w:line="570" w:lineRule="exact"/>
        <w:ind w:firstLine="2088" w:firstLineChars="650"/>
        <w:rPr>
          <w:b/>
        </w:rPr>
      </w:pPr>
    </w:p>
    <w:p>
      <w:pPr>
        <w:spacing w:line="600" w:lineRule="exact"/>
        <w:rPr>
          <w:b/>
        </w:rPr>
      </w:pPr>
    </w:p>
    <w:p>
      <w:pPr>
        <w:spacing w:line="600" w:lineRule="exact"/>
        <w:rPr>
          <w:b/>
        </w:rPr>
      </w:pPr>
    </w:p>
    <w:p>
      <w:pPr>
        <w:wordWrap w:val="0"/>
        <w:spacing w:line="600" w:lineRule="exact"/>
        <w:ind w:firstLine="643" w:firstLineChars="200"/>
        <w:jc w:val="right"/>
        <w:rPr>
          <w:b/>
        </w:rPr>
      </w:pPr>
      <w:r>
        <w:rPr>
          <w:rFonts w:hint="eastAsia"/>
          <w:b/>
        </w:rPr>
        <w:t xml:space="preserve">       </w:t>
      </w:r>
    </w:p>
    <w:p>
      <w:pPr>
        <w:wordWrap w:val="0"/>
        <w:spacing w:line="600" w:lineRule="exact"/>
        <w:ind w:firstLine="643" w:firstLineChars="200"/>
        <w:jc w:val="right"/>
        <w:rPr>
          <w:b/>
        </w:rPr>
        <w:sectPr>
          <w:headerReference r:id="rId3" w:type="default"/>
          <w:footerReference r:id="rId5" w:type="default"/>
          <w:headerReference r:id="rId4" w:type="even"/>
          <w:footerReference r:id="rId6" w:type="even"/>
          <w:pgSz w:w="11907" w:h="16840"/>
          <w:pgMar w:top="1418" w:right="1588" w:bottom="1418" w:left="1588" w:header="851" w:footer="1701" w:gutter="0"/>
          <w:pgNumType w:fmt="numberInDash"/>
          <w:cols w:space="425" w:num="1"/>
          <w:docGrid w:type="lines" w:linePitch="312" w:charSpace="0"/>
        </w:sectPr>
      </w:pPr>
      <w:r>
        <w:rPr>
          <w:rFonts w:hint="eastAsia"/>
          <w:b/>
        </w:rPr>
        <w:t xml:space="preserve">          </w:t>
      </w:r>
    </w:p>
    <w:p>
      <w:pPr>
        <w:rPr>
          <w:rFonts w:hAnsi="方正仿宋简体" w:cs="方正仿宋简体"/>
          <w:b/>
          <w:bCs/>
          <w:szCs w:val="32"/>
        </w:rPr>
      </w:pPr>
    </w:p>
    <w:sectPr>
      <w:headerReference r:id="rId7" w:type="default"/>
      <w:footerReference r:id="rId9" w:type="default"/>
      <w:headerReference r:id="rId8" w:type="even"/>
      <w:footerReference r:id="rId10" w:type="even"/>
      <w:pgSz w:w="11907" w:h="16840"/>
      <w:pgMar w:top="1418" w:right="1588" w:bottom="1418"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299792"/>
      <w:docPartObj>
        <w:docPartGallery w:val="autotext"/>
      </w:docPartObj>
    </w:sdtPr>
    <w:sdtEndPr>
      <w:rPr>
        <w:rFonts w:asciiTheme="majorEastAsia" w:hAnsiTheme="majorEastAsia" w:eastAsiaTheme="majorEastAsia"/>
        <w:b/>
        <w:sz w:val="28"/>
        <w:szCs w:val="28"/>
      </w:rPr>
    </w:sdtEndPr>
    <w:sdtContent>
      <w:p>
        <w:pPr>
          <w:pStyle w:val="4"/>
          <w:jc w:val="right"/>
          <w:rPr>
            <w:rFonts w:asciiTheme="majorEastAsia" w:hAnsiTheme="majorEastAsia" w:eastAsiaTheme="majorEastAsia"/>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b/>
            <w:sz w:val="28"/>
            <w:szCs w:val="28"/>
            <w:lang w:val="zh-CN"/>
          </w:rPr>
          <w:t>-</w:t>
        </w:r>
        <w:r>
          <w:rPr>
            <w:rFonts w:asciiTheme="majorEastAsia" w:hAnsiTheme="majorEastAsia" w:eastAsiaTheme="majorEastAsia"/>
            <w:b/>
            <w:sz w:val="28"/>
            <w:szCs w:val="28"/>
          </w:rPr>
          <w:t xml:space="preserve"> 23 -</w:t>
        </w:r>
        <w:r>
          <w:rPr>
            <w:rFonts w:asciiTheme="majorEastAsia" w:hAnsiTheme="majorEastAsia" w:eastAsiaTheme="maj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362791"/>
    </w:sdtPr>
    <w:sdtEndPr>
      <w:rPr>
        <w:rFonts w:asciiTheme="majorEastAsia" w:hAnsiTheme="majorEastAsia" w:eastAsiaTheme="majorEastAsia"/>
        <w:b/>
        <w:sz w:val="28"/>
        <w:szCs w:val="28"/>
      </w:rPr>
    </w:sdtEndPr>
    <w:sdtContent>
      <w:p>
        <w:pPr>
          <w:pStyle w:val="4"/>
          <w:rPr>
            <w:rFonts w:asciiTheme="majorEastAsia" w:hAnsiTheme="majorEastAsia" w:eastAsiaTheme="majorEastAsia"/>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b/>
            <w:sz w:val="28"/>
            <w:szCs w:val="28"/>
            <w:lang w:val="zh-CN"/>
          </w:rPr>
          <w:t>-</w:t>
        </w:r>
        <w:r>
          <w:rPr>
            <w:rFonts w:asciiTheme="majorEastAsia" w:hAnsiTheme="majorEastAsia" w:eastAsiaTheme="majorEastAsia"/>
            <w:b/>
            <w:sz w:val="28"/>
            <w:szCs w:val="28"/>
          </w:rPr>
          <w:t xml:space="preserve"> 24 -</w:t>
        </w:r>
        <w:r>
          <w:rPr>
            <w:rFonts w:asciiTheme="majorEastAsia" w:hAnsiTheme="majorEastAsia" w:eastAsiaTheme="maj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0806709"/>
    </w:sdtPr>
    <w:sdtContent>
      <w:p>
        <w:pPr>
          <w:pStyle w:val="4"/>
          <w:jc w:val="right"/>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b/>
            <w:sz w:val="28"/>
            <w:szCs w:val="28"/>
            <w:lang w:val="zh-CN"/>
          </w:rPr>
          <w:t>-</w:t>
        </w:r>
        <w:r>
          <w:rPr>
            <w:rFonts w:asciiTheme="majorEastAsia" w:hAnsiTheme="majorEastAsia" w:eastAsiaTheme="majorEastAsia"/>
            <w:b/>
            <w:sz w:val="28"/>
            <w:szCs w:val="28"/>
          </w:rPr>
          <w:t xml:space="preserve"> 47 -</w:t>
        </w:r>
        <w:r>
          <w:rPr>
            <w:rFonts w:asciiTheme="majorEastAsia" w:hAnsiTheme="majorEastAsia" w:eastAsiaTheme="majorEastAsia"/>
            <w:b/>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317981"/>
    </w:sdtPr>
    <w:sdtEndPr>
      <w:rPr>
        <w:rFonts w:asciiTheme="majorEastAsia" w:hAnsiTheme="majorEastAsia" w:eastAsiaTheme="majorEastAsia"/>
        <w:b/>
        <w:sz w:val="28"/>
        <w:szCs w:val="28"/>
      </w:rPr>
    </w:sdtEndPr>
    <w:sdtContent>
      <w:p>
        <w:pPr>
          <w:pStyle w:val="4"/>
          <w:rPr>
            <w:rFonts w:asciiTheme="majorEastAsia" w:hAnsiTheme="majorEastAsia" w:eastAsiaTheme="majorEastAsia"/>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b/>
            <w:sz w:val="28"/>
            <w:szCs w:val="28"/>
            <w:lang w:val="zh-CN"/>
          </w:rPr>
          <w:t>-</w:t>
        </w:r>
        <w:r>
          <w:rPr>
            <w:rFonts w:asciiTheme="majorEastAsia" w:hAnsiTheme="majorEastAsia" w:eastAsiaTheme="majorEastAsia"/>
            <w:b/>
            <w:sz w:val="28"/>
            <w:szCs w:val="28"/>
          </w:rPr>
          <w:t xml:space="preserve"> 48 -</w:t>
        </w:r>
        <w:r>
          <w:rPr>
            <w:rFonts w:asciiTheme="majorEastAsia" w:hAnsiTheme="majorEastAsia" w:eastAsiaTheme="majorEastAsia"/>
            <w:b/>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F0"/>
    <w:rsid w:val="00017BB7"/>
    <w:rsid w:val="00024B0B"/>
    <w:rsid w:val="00037522"/>
    <w:rsid w:val="00075FE4"/>
    <w:rsid w:val="000B2FC9"/>
    <w:rsid w:val="000F0321"/>
    <w:rsid w:val="001300B5"/>
    <w:rsid w:val="00177B32"/>
    <w:rsid w:val="00192D29"/>
    <w:rsid w:val="00204446"/>
    <w:rsid w:val="00214678"/>
    <w:rsid w:val="00253E24"/>
    <w:rsid w:val="002659A3"/>
    <w:rsid w:val="00270EEA"/>
    <w:rsid w:val="00296C81"/>
    <w:rsid w:val="002B1E2F"/>
    <w:rsid w:val="002B4DE8"/>
    <w:rsid w:val="002C31C1"/>
    <w:rsid w:val="00307DF3"/>
    <w:rsid w:val="00382619"/>
    <w:rsid w:val="00390B5B"/>
    <w:rsid w:val="00395FB2"/>
    <w:rsid w:val="003B4A2B"/>
    <w:rsid w:val="003C429A"/>
    <w:rsid w:val="003C76DA"/>
    <w:rsid w:val="003D3B18"/>
    <w:rsid w:val="00403590"/>
    <w:rsid w:val="00423689"/>
    <w:rsid w:val="004403EB"/>
    <w:rsid w:val="00443708"/>
    <w:rsid w:val="00497AD3"/>
    <w:rsid w:val="004B7578"/>
    <w:rsid w:val="004D5B37"/>
    <w:rsid w:val="004F451F"/>
    <w:rsid w:val="005C4BA4"/>
    <w:rsid w:val="005C7ABB"/>
    <w:rsid w:val="00656EF4"/>
    <w:rsid w:val="00697392"/>
    <w:rsid w:val="006A6943"/>
    <w:rsid w:val="006B2801"/>
    <w:rsid w:val="00755569"/>
    <w:rsid w:val="007626DF"/>
    <w:rsid w:val="00775885"/>
    <w:rsid w:val="00790548"/>
    <w:rsid w:val="007A472D"/>
    <w:rsid w:val="007E227A"/>
    <w:rsid w:val="007E5447"/>
    <w:rsid w:val="008005EE"/>
    <w:rsid w:val="00813954"/>
    <w:rsid w:val="0082112B"/>
    <w:rsid w:val="00832F48"/>
    <w:rsid w:val="008416F0"/>
    <w:rsid w:val="00851FAB"/>
    <w:rsid w:val="008544FB"/>
    <w:rsid w:val="00862997"/>
    <w:rsid w:val="008A3131"/>
    <w:rsid w:val="008A6D29"/>
    <w:rsid w:val="008C3D06"/>
    <w:rsid w:val="008C57D0"/>
    <w:rsid w:val="00922179"/>
    <w:rsid w:val="00926136"/>
    <w:rsid w:val="00985F4C"/>
    <w:rsid w:val="0098635F"/>
    <w:rsid w:val="009A0672"/>
    <w:rsid w:val="00A04174"/>
    <w:rsid w:val="00A20AD9"/>
    <w:rsid w:val="00A22927"/>
    <w:rsid w:val="00A27D7D"/>
    <w:rsid w:val="00A35347"/>
    <w:rsid w:val="00A42FAD"/>
    <w:rsid w:val="00A450FF"/>
    <w:rsid w:val="00A46E69"/>
    <w:rsid w:val="00A4734D"/>
    <w:rsid w:val="00A73B97"/>
    <w:rsid w:val="00A75133"/>
    <w:rsid w:val="00A83AF6"/>
    <w:rsid w:val="00AC0B40"/>
    <w:rsid w:val="00AC41E9"/>
    <w:rsid w:val="00AC5015"/>
    <w:rsid w:val="00AF56B6"/>
    <w:rsid w:val="00B21A4F"/>
    <w:rsid w:val="00B52FDC"/>
    <w:rsid w:val="00B6059E"/>
    <w:rsid w:val="00B664BF"/>
    <w:rsid w:val="00B978A5"/>
    <w:rsid w:val="00BE53B4"/>
    <w:rsid w:val="00C02861"/>
    <w:rsid w:val="00C073BE"/>
    <w:rsid w:val="00C42926"/>
    <w:rsid w:val="00C57E8B"/>
    <w:rsid w:val="00CA356C"/>
    <w:rsid w:val="00CD7D4F"/>
    <w:rsid w:val="00D10141"/>
    <w:rsid w:val="00D1794A"/>
    <w:rsid w:val="00D419B0"/>
    <w:rsid w:val="00D832F2"/>
    <w:rsid w:val="00D916D4"/>
    <w:rsid w:val="00D94536"/>
    <w:rsid w:val="00DA42BA"/>
    <w:rsid w:val="00DA6FE9"/>
    <w:rsid w:val="00DB7001"/>
    <w:rsid w:val="00DC706F"/>
    <w:rsid w:val="00DD5F93"/>
    <w:rsid w:val="00DD6494"/>
    <w:rsid w:val="00E0184C"/>
    <w:rsid w:val="00E72F04"/>
    <w:rsid w:val="00E94DCD"/>
    <w:rsid w:val="00E94F84"/>
    <w:rsid w:val="00EC5583"/>
    <w:rsid w:val="00ED008F"/>
    <w:rsid w:val="00ED105C"/>
    <w:rsid w:val="00EE029D"/>
    <w:rsid w:val="00F02DC3"/>
    <w:rsid w:val="00F104CF"/>
    <w:rsid w:val="00F50F67"/>
    <w:rsid w:val="00F76864"/>
    <w:rsid w:val="00FE370F"/>
    <w:rsid w:val="051215D2"/>
    <w:rsid w:val="22A121D1"/>
    <w:rsid w:val="22AD2928"/>
    <w:rsid w:val="2CB171A5"/>
    <w:rsid w:val="56A858AD"/>
    <w:rsid w:val="60AA230E"/>
    <w:rsid w:val="7510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简体" w:eastAsia="方正仿宋简体" w:hAnsiTheme="minorHAnsi" w:cstheme="minorBidi"/>
      <w:kern w:val="2"/>
      <w:sz w:val="32"/>
      <w:szCs w:val="22"/>
      <w:lang w:val="en-US" w:eastAsia="zh-CN" w:bidi="ar-SA"/>
    </w:rPr>
  </w:style>
  <w:style w:type="paragraph" w:styleId="2">
    <w:name w:val="heading 1"/>
    <w:basedOn w:val="1"/>
    <w:next w:val="1"/>
    <w:qFormat/>
    <w:uiPriority w:val="0"/>
    <w:pPr>
      <w:keepNext/>
      <w:keepLines/>
      <w:ind w:left="300" w:leftChars="300"/>
      <w:outlineLvl w:val="0"/>
    </w:pPr>
    <w:rPr>
      <w:rFonts w:eastAsia="黑体"/>
      <w:b/>
      <w:kern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eastAsiaTheme="minorEastAsia"/>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eastAsiaTheme="minorEastAsia"/>
      <w:sz w:val="18"/>
      <w:szCs w:val="18"/>
    </w:rPr>
  </w:style>
  <w:style w:type="paragraph" w:styleId="6">
    <w:name w:val="Normal (Web)"/>
    <w:basedOn w:val="1"/>
    <w:qFormat/>
    <w:uiPriority w:val="0"/>
    <w:rPr>
      <w:rFonts w:asciiTheme="minorHAnsi" w:eastAsiaTheme="minorEastAsia"/>
      <w:sz w:val="24"/>
      <w:szCs w:val="24"/>
    </w:rPr>
  </w:style>
  <w:style w:type="table" w:styleId="8">
    <w:name w:val="Table Grid"/>
    <w:basedOn w:val="7"/>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5"/>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3"/>
    <w:semiHidden/>
    <w:qFormat/>
    <w:uiPriority w:val="99"/>
    <w:rPr>
      <w:rFonts w:ascii="方正仿宋简体" w:eastAsia="方正仿宋简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2885</Words>
  <Characters>16449</Characters>
  <Lines>137</Lines>
  <Paragraphs>38</Paragraphs>
  <TotalTime>15</TotalTime>
  <ScaleCrop>false</ScaleCrop>
  <LinksUpToDate>false</LinksUpToDate>
  <CharactersWithSpaces>19296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2021-08-25T01:22:00Z</dcterms:created>
  <dc:creator>排版</dc:creator>
  <cp:lastModifiedBy>Administrator</cp:lastModifiedBy>
  <cp:lastPrinted>2021-08-25T08:10:00Z</cp:lastPrinted>
  <dcterms:modified xsi:type="dcterms:W3CDTF">2021-10-20T02:29:46Z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