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firstLineChars="200"/>
        <w:rPr>
          <w:b/>
        </w:rPr>
      </w:pPr>
    </w:p>
    <w:p>
      <w:pPr>
        <w:spacing w:line="600" w:lineRule="exact"/>
        <w:ind w:firstLine="643" w:firstLineChars="200"/>
        <w:rPr>
          <w:b/>
        </w:rPr>
      </w:pPr>
    </w:p>
    <w:p>
      <w:pPr>
        <w:spacing w:line="600" w:lineRule="exact"/>
        <w:jc w:val="center"/>
        <w:outlineLvl w:val="0"/>
        <w:rPr>
          <w:rFonts w:ascii="方正小标宋简体" w:eastAsia="方正小标宋简体"/>
          <w:b/>
          <w:sz w:val="44"/>
          <w:szCs w:val="44"/>
        </w:rPr>
      </w:pPr>
      <w:r>
        <w:rPr>
          <w:rFonts w:hint="eastAsia" w:ascii="方正小标宋简体" w:eastAsia="方正小标宋简体"/>
          <w:b/>
          <w:sz w:val="44"/>
          <w:szCs w:val="44"/>
        </w:rPr>
        <w:t>济宁市发展改革系统“双随机、一公开”监管随机抽查事项清单</w:t>
      </w:r>
    </w:p>
    <w:tbl>
      <w:tblPr>
        <w:tblStyle w:val="7"/>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0"/>
        <w:gridCol w:w="886"/>
        <w:gridCol w:w="704"/>
        <w:gridCol w:w="3628"/>
        <w:gridCol w:w="980"/>
        <w:gridCol w:w="638"/>
        <w:gridCol w:w="1066"/>
        <w:gridCol w:w="1119"/>
        <w:gridCol w:w="332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 w:hRule="atLeast"/>
          <w:tblHeader/>
          <w:jc w:val="center"/>
        </w:trPr>
        <w:tc>
          <w:tcPr>
            <w:tcW w:w="530"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bookmarkStart w:id="0" w:name="RANGE!A1:L14"/>
            <w:r>
              <w:rPr>
                <w:rFonts w:hint="eastAsia" w:ascii="方正黑体简体" w:hAnsi="Times New Roman" w:eastAsia="方正黑体简体" w:cs="Times New Roman"/>
                <w:b/>
                <w:color w:val="000000"/>
                <w:kern w:val="0"/>
                <w:sz w:val="21"/>
                <w:szCs w:val="21"/>
              </w:rPr>
              <w:t>序号</w:t>
            </w:r>
            <w:bookmarkEnd w:id="0"/>
          </w:p>
        </w:tc>
        <w:tc>
          <w:tcPr>
            <w:tcW w:w="886"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抽查事项</w:t>
            </w:r>
          </w:p>
        </w:tc>
        <w:tc>
          <w:tcPr>
            <w:tcW w:w="704"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检查</w:t>
            </w:r>
          </w:p>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对象</w:t>
            </w:r>
          </w:p>
        </w:tc>
        <w:tc>
          <w:tcPr>
            <w:tcW w:w="3628" w:type="dxa"/>
            <w:noWrap/>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抽查内容</w:t>
            </w:r>
          </w:p>
        </w:tc>
        <w:tc>
          <w:tcPr>
            <w:tcW w:w="980"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事项类别</w:t>
            </w:r>
          </w:p>
        </w:tc>
        <w:tc>
          <w:tcPr>
            <w:tcW w:w="638"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检查</w:t>
            </w:r>
          </w:p>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方式</w:t>
            </w:r>
          </w:p>
        </w:tc>
        <w:tc>
          <w:tcPr>
            <w:tcW w:w="1066"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抽检比例</w:t>
            </w:r>
          </w:p>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及频次</w:t>
            </w:r>
          </w:p>
        </w:tc>
        <w:tc>
          <w:tcPr>
            <w:tcW w:w="1119"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检查部门及实施层级</w:t>
            </w:r>
          </w:p>
        </w:tc>
        <w:tc>
          <w:tcPr>
            <w:tcW w:w="3329" w:type="dxa"/>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设定依据</w:t>
            </w:r>
          </w:p>
        </w:tc>
        <w:tc>
          <w:tcPr>
            <w:tcW w:w="1078" w:type="dxa"/>
            <w:noWrap/>
            <w:vAlign w:val="center"/>
          </w:tcPr>
          <w:p>
            <w:pPr>
              <w:widowControl/>
              <w:spacing w:line="300" w:lineRule="exact"/>
              <w:jc w:val="center"/>
              <w:rPr>
                <w:rFonts w:ascii="方正黑体简体" w:hAnsi="Times New Roman" w:eastAsia="方正黑体简体" w:cs="Times New Roman"/>
                <w:b/>
                <w:color w:val="000000"/>
                <w:kern w:val="0"/>
                <w:sz w:val="21"/>
                <w:szCs w:val="21"/>
              </w:rPr>
            </w:pPr>
            <w:r>
              <w:rPr>
                <w:rFonts w:hint="eastAsia" w:ascii="方正黑体简体" w:hAnsi="Times New Roman" w:eastAsia="方正黑体简体" w:cs="Times New Roman"/>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1"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1</w:t>
            </w:r>
          </w:p>
        </w:tc>
        <w:tc>
          <w:tcPr>
            <w:tcW w:w="88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对已开工企业投资核准项目的行政检查</w:t>
            </w:r>
          </w:p>
        </w:tc>
        <w:tc>
          <w:tcPr>
            <w:tcW w:w="704"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企业投资核准项目</w:t>
            </w:r>
          </w:p>
        </w:tc>
        <w:tc>
          <w:tcPr>
            <w:tcW w:w="3628" w:type="dxa"/>
            <w:noWrap/>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1.是否通过全国投资项目在线审批监管平台，如实、及时报送项目开工建设、建设进度、竣工等建设实施基本信息；</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2.需要变更已核准建设地点或者对已核准建设规模、建设内容等作较大变更的，是否按规定办理变更手续；</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3.需要延期开工建设的，是否按规定办理延期开工建设手续；</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4.是否按照核准的建设地点、建设规模、建设内容等进行建设。</w:t>
            </w:r>
          </w:p>
        </w:tc>
        <w:tc>
          <w:tcPr>
            <w:tcW w:w="98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重点检查与一般检查相结合</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现场核查</w:t>
            </w:r>
          </w:p>
        </w:tc>
        <w:tc>
          <w:tcPr>
            <w:tcW w:w="106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1.至少1次/项目（已开工项目）</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2.已完成1次核查后转入随机抽查，按5%比例，每年一次</w:t>
            </w:r>
          </w:p>
        </w:tc>
        <w:tc>
          <w:tcPr>
            <w:tcW w:w="1119"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市、县两级发展改革部门</w:t>
            </w:r>
          </w:p>
        </w:tc>
        <w:tc>
          <w:tcPr>
            <w:tcW w:w="3329" w:type="dxa"/>
            <w:vAlign w:val="center"/>
          </w:tcPr>
          <w:p>
            <w:pPr>
              <w:widowControl/>
              <w:spacing w:line="300" w:lineRule="exact"/>
              <w:jc w:val="left"/>
              <w:rPr>
                <w:rFonts w:hAnsi="方正仿宋简体" w:cs="方正仿宋简体"/>
                <w:b/>
                <w:bCs/>
                <w:color w:val="000000"/>
                <w:kern w:val="0"/>
                <w:sz w:val="21"/>
                <w:szCs w:val="21"/>
              </w:rPr>
            </w:pPr>
            <w:r>
              <w:rPr>
                <w:rFonts w:hint="eastAsia" w:hAnsi="方正仿宋简体" w:cs="方正仿宋简体"/>
                <w:b/>
                <w:bCs/>
                <w:color w:val="000000"/>
                <w:kern w:val="0"/>
                <w:sz w:val="21"/>
                <w:szCs w:val="21"/>
              </w:rPr>
              <w:t>《企业投资项目事中事后监管办法》（国家发展改革委令2018年1月第14号）第八条</w:t>
            </w:r>
            <w:r>
              <w:rPr>
                <w:rFonts w:hint="eastAsia" w:hAnsi="方正仿宋简体" w:cs="方正仿宋简体"/>
                <w:b/>
                <w:color w:val="000000"/>
                <w:kern w:val="0"/>
                <w:sz w:val="21"/>
                <w:szCs w:val="21"/>
              </w:rPr>
              <w:t>：“核准机关对其核准的项目，应当在项目开工后至少开展一次现场核查。”</w:t>
            </w:r>
          </w:p>
        </w:tc>
        <w:tc>
          <w:tcPr>
            <w:tcW w:w="1078" w:type="dxa"/>
            <w:noWrap/>
            <w:vAlign w:val="center"/>
          </w:tcPr>
          <w:p>
            <w:pPr>
              <w:widowControl/>
              <w:spacing w:line="300" w:lineRule="exact"/>
              <w:jc w:val="left"/>
              <w:rPr>
                <w:rFonts w:hAnsi="方正仿宋简体" w:cs="方正仿宋简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5"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2</w:t>
            </w:r>
          </w:p>
        </w:tc>
        <w:tc>
          <w:tcPr>
            <w:tcW w:w="88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对已开工企业投资备案项目的行政检查</w:t>
            </w:r>
          </w:p>
        </w:tc>
        <w:tc>
          <w:tcPr>
            <w:tcW w:w="704"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企业投资备案项目</w:t>
            </w:r>
          </w:p>
        </w:tc>
        <w:tc>
          <w:tcPr>
            <w:tcW w:w="3628"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1.是否通过全国投资项目在线审批监管平台，如实、及时报送项目开工建设、建设进度、竣工等建设实施基本信息；</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2.是否属于实行核准管理的项目；</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3.是否按照备案的建设地点、建设规模、建设内容进行建设；</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4.是否属于产业政策禁止投资建设的项目。</w:t>
            </w:r>
          </w:p>
        </w:tc>
        <w:tc>
          <w:tcPr>
            <w:tcW w:w="98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现场核查</w:t>
            </w:r>
          </w:p>
        </w:tc>
        <w:tc>
          <w:tcPr>
            <w:tcW w:w="106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5%（已开工项目），每年一次</w:t>
            </w:r>
          </w:p>
        </w:tc>
        <w:tc>
          <w:tcPr>
            <w:tcW w:w="1119"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市、县两级发展改革部门</w:t>
            </w:r>
          </w:p>
        </w:tc>
        <w:tc>
          <w:tcPr>
            <w:tcW w:w="3329"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bCs/>
                <w:color w:val="000000"/>
                <w:kern w:val="0"/>
                <w:sz w:val="21"/>
                <w:szCs w:val="21"/>
              </w:rPr>
              <w:t>《企业投资项目事中事后监管办法》（国家发展改革委令2018年1月第14号）第十六条：</w:t>
            </w:r>
            <w:r>
              <w:rPr>
                <w:rFonts w:hint="eastAsia" w:hAnsi="方正仿宋简体" w:cs="方正仿宋简体"/>
                <w:b/>
                <w:color w:val="000000"/>
                <w:kern w:val="0"/>
                <w:sz w:val="21"/>
                <w:szCs w:val="21"/>
              </w:rPr>
              <w:t>“备案机关对其备案的项目，应当根据‘双随机、一公开’的原则，结合投资调控实际需要，定期制定现场核查计划。对列入现场核查计划的项目，应当在项目开工后至少开展一次现场核查。列入现场核查计划的项目数量比例，由备案机关根据实际确定。”</w:t>
            </w:r>
          </w:p>
        </w:tc>
        <w:tc>
          <w:tcPr>
            <w:tcW w:w="1078" w:type="dxa"/>
            <w:noWrap/>
            <w:vAlign w:val="center"/>
          </w:tcPr>
          <w:p>
            <w:pPr>
              <w:widowControl/>
              <w:spacing w:line="300" w:lineRule="exact"/>
              <w:jc w:val="left"/>
              <w:rPr>
                <w:rFonts w:hAnsi="方正仿宋简体" w:cs="方正仿宋简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4"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3</w:t>
            </w:r>
          </w:p>
        </w:tc>
        <w:tc>
          <w:tcPr>
            <w:tcW w:w="88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政府投资重大项目监督管理和招标投标监督检查</w:t>
            </w:r>
          </w:p>
        </w:tc>
        <w:tc>
          <w:tcPr>
            <w:tcW w:w="704"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政府投资项目</w:t>
            </w:r>
          </w:p>
        </w:tc>
        <w:tc>
          <w:tcPr>
            <w:tcW w:w="3628" w:type="dxa"/>
            <w:noWrap/>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1.是否按照批复的建设地点、建设规模、建设内容、概算总投资等内容进行建设；</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2.项目招标投标活动等。</w:t>
            </w:r>
          </w:p>
        </w:tc>
        <w:tc>
          <w:tcPr>
            <w:tcW w:w="980"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在线监测、现场核查等</w:t>
            </w:r>
          </w:p>
        </w:tc>
        <w:tc>
          <w:tcPr>
            <w:tcW w:w="106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5%，每年一次</w:t>
            </w:r>
          </w:p>
        </w:tc>
        <w:tc>
          <w:tcPr>
            <w:tcW w:w="111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市、县两级发展改革部门</w:t>
            </w:r>
          </w:p>
        </w:tc>
        <w:tc>
          <w:tcPr>
            <w:tcW w:w="3329"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bCs/>
                <w:color w:val="000000"/>
                <w:kern w:val="0"/>
                <w:sz w:val="21"/>
                <w:szCs w:val="21"/>
              </w:rPr>
              <w:t>1.《政府投资条例》（国务院令2019年4月第712号）第二十七条：</w:t>
            </w:r>
            <w:r>
              <w:rPr>
                <w:rFonts w:hint="eastAsia" w:hAnsi="方正仿宋简体" w:cs="方正仿宋简体"/>
                <w:b/>
                <w:color w:val="000000"/>
                <w:kern w:val="0"/>
                <w:sz w:val="21"/>
                <w:szCs w:val="21"/>
              </w:rPr>
              <w:t>“投资主管部门和依法对政府投资项目负有监督管理职责的其他部门应当采取在线监测、现场核查等方式，加强对政府投资项目实施情况的监督检查。”</w:t>
            </w:r>
          </w:p>
          <w:p>
            <w:pPr>
              <w:widowControl/>
              <w:spacing w:line="300" w:lineRule="exact"/>
              <w:jc w:val="left"/>
              <w:rPr>
                <w:rFonts w:hAnsi="方正仿宋简体" w:cs="方正仿宋简体"/>
                <w:b/>
                <w:bCs/>
                <w:color w:val="000000"/>
                <w:kern w:val="0"/>
                <w:sz w:val="21"/>
                <w:szCs w:val="21"/>
              </w:rPr>
            </w:pPr>
            <w:r>
              <w:rPr>
                <w:rFonts w:hint="eastAsia" w:hAnsi="方正仿宋简体" w:cs="方正仿宋简体"/>
                <w:b/>
                <w:bCs/>
                <w:color w:val="000000"/>
                <w:kern w:val="0"/>
                <w:sz w:val="21"/>
                <w:szCs w:val="21"/>
              </w:rPr>
              <w:t>2.《山东省实施&lt;中华人民共和国招标投标法&gt;办法》（2005年5月通过）第四条：</w:t>
            </w:r>
            <w:r>
              <w:rPr>
                <w:rFonts w:hint="eastAsia" w:hAnsi="方正仿宋简体" w:cs="方正仿宋简体"/>
                <w:b/>
                <w:color w:val="000000"/>
                <w:kern w:val="0"/>
                <w:sz w:val="21"/>
                <w:szCs w:val="21"/>
              </w:rPr>
              <w:t>“县级以上人民政府发展改革部门负责对本行政区域内的招标投标工作进行指导和协调，并对本级人民政府确定的重大建设项目建设过程中的工程招标投标进行监督检查。”</w:t>
            </w:r>
          </w:p>
        </w:tc>
        <w:tc>
          <w:tcPr>
            <w:tcW w:w="1078" w:type="dxa"/>
            <w:noWrap/>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为保证本系统内“进一次门、查多项事”， 政府投资重大项目监督管理和招标投标监督检查合并执行。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2"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4</w:t>
            </w:r>
          </w:p>
        </w:tc>
        <w:tc>
          <w:tcPr>
            <w:tcW w:w="88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政策性粮食购销活动监督检查</w:t>
            </w:r>
          </w:p>
        </w:tc>
        <w:tc>
          <w:tcPr>
            <w:tcW w:w="704"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企业</w:t>
            </w:r>
          </w:p>
        </w:tc>
        <w:tc>
          <w:tcPr>
            <w:tcW w:w="3628" w:type="dxa"/>
            <w:noWrap/>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1、粮食收购企业遵守《粮食流通管理条例》等粮食法律法规情况。</w:t>
            </w:r>
            <w:r>
              <w:rPr>
                <w:rFonts w:hint="eastAsia" w:hAnsi="方正仿宋简体" w:cs="方正仿宋简体"/>
                <w:b/>
                <w:color w:val="000000"/>
                <w:kern w:val="0"/>
                <w:sz w:val="21"/>
                <w:szCs w:val="21"/>
              </w:rPr>
              <w:br w:type="textWrapping"/>
            </w:r>
            <w:r>
              <w:rPr>
                <w:rFonts w:hint="eastAsia" w:hAnsi="方正仿宋简体" w:cs="方正仿宋简体"/>
                <w:b/>
                <w:color w:val="000000"/>
                <w:kern w:val="0"/>
                <w:sz w:val="21"/>
                <w:szCs w:val="21"/>
              </w:rPr>
              <w:t>2、粮食收购企业备案情况。</w:t>
            </w:r>
            <w:r>
              <w:rPr>
                <w:rFonts w:hint="eastAsia" w:hAnsi="方正仿宋简体" w:cs="方正仿宋简体"/>
                <w:b/>
                <w:color w:val="000000"/>
                <w:kern w:val="0"/>
                <w:sz w:val="21"/>
                <w:szCs w:val="21"/>
              </w:rPr>
              <w:br w:type="textWrapping"/>
            </w:r>
            <w:r>
              <w:rPr>
                <w:rFonts w:hint="eastAsia" w:hAnsi="方正仿宋简体" w:cs="方正仿宋简体"/>
                <w:b/>
                <w:color w:val="000000"/>
                <w:kern w:val="0"/>
                <w:sz w:val="21"/>
                <w:szCs w:val="21"/>
              </w:rPr>
              <w:t>3、粮食收购企业执行“五要五不准”粮食收购守则情况。</w:t>
            </w:r>
            <w:r>
              <w:rPr>
                <w:rFonts w:hint="eastAsia" w:hAnsi="方正仿宋简体" w:cs="方正仿宋简体"/>
                <w:b/>
                <w:color w:val="000000"/>
                <w:kern w:val="0"/>
                <w:sz w:val="21"/>
                <w:szCs w:val="21"/>
              </w:rPr>
              <w:br w:type="textWrapping"/>
            </w:r>
            <w:r>
              <w:rPr>
                <w:rFonts w:hint="eastAsia" w:hAnsi="方正仿宋简体" w:cs="方正仿宋简体"/>
                <w:b/>
                <w:color w:val="000000"/>
                <w:kern w:val="0"/>
                <w:sz w:val="21"/>
                <w:szCs w:val="21"/>
              </w:rPr>
              <w:t>4、粮食收购企业开展粮食收购政策宣传、验质检斤、粮款支付、报送收购进度等工作情况。</w:t>
            </w:r>
            <w:r>
              <w:rPr>
                <w:rFonts w:hint="eastAsia" w:hAnsi="方正仿宋简体" w:cs="方正仿宋简体"/>
                <w:b/>
                <w:color w:val="000000"/>
                <w:kern w:val="0"/>
                <w:sz w:val="21"/>
                <w:szCs w:val="21"/>
              </w:rPr>
              <w:br w:type="textWrapping"/>
            </w:r>
            <w:r>
              <w:rPr>
                <w:rFonts w:hint="eastAsia" w:hAnsi="方正仿宋简体" w:cs="方正仿宋简体"/>
                <w:b/>
                <w:color w:val="000000"/>
                <w:kern w:val="0"/>
                <w:sz w:val="21"/>
                <w:szCs w:val="21"/>
              </w:rPr>
              <w:t>5、政策性粮食收购主体执行国家最低收购价等粮食收购政策情况。</w:t>
            </w:r>
            <w:r>
              <w:rPr>
                <w:rFonts w:hint="eastAsia" w:hAnsi="方正仿宋简体" w:cs="方正仿宋简体"/>
                <w:b/>
                <w:color w:val="000000"/>
                <w:kern w:val="0"/>
                <w:sz w:val="21"/>
                <w:szCs w:val="21"/>
              </w:rPr>
              <w:br w:type="textWrapping"/>
            </w:r>
            <w:r>
              <w:rPr>
                <w:rFonts w:hint="eastAsia" w:hAnsi="方正仿宋简体" w:cs="方正仿宋简体"/>
                <w:b/>
                <w:color w:val="000000"/>
                <w:kern w:val="0"/>
                <w:sz w:val="21"/>
                <w:szCs w:val="21"/>
              </w:rPr>
              <w:t>6、承储企业在粮食销售出库过程中是否掺杂使假。</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7、承储企业是否向买方额外索要收取其他费用问题。</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8、承储企业是否不按照交易细则和合同规定的品种、数量、质量及时交割。</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9、承储企业是否设置障碍或以各种借口拖延阻挠出库等。</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10、买方企业是否执行政策规定、交易规则，是否违背诚信、歪曲事实导致出库纠纷及违约、毁约等。</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11、其他依法依规抽查内容。</w:t>
            </w:r>
          </w:p>
        </w:tc>
        <w:tc>
          <w:tcPr>
            <w:tcW w:w="980"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现场检查</w:t>
            </w:r>
          </w:p>
        </w:tc>
        <w:tc>
          <w:tcPr>
            <w:tcW w:w="1066"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全年抽查比例不低于5%，抽查频次根据监管需要确定</w:t>
            </w:r>
          </w:p>
        </w:tc>
        <w:tc>
          <w:tcPr>
            <w:tcW w:w="111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市、县粮食和储备部门</w:t>
            </w:r>
          </w:p>
        </w:tc>
        <w:tc>
          <w:tcPr>
            <w:tcW w:w="3329" w:type="dxa"/>
            <w:vAlign w:val="center"/>
          </w:tcPr>
          <w:p>
            <w:pPr>
              <w:widowControl/>
              <w:spacing w:before="225"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w:t>
            </w:r>
            <w:r>
              <w:rPr>
                <w:rFonts w:hint="eastAsia" w:hAnsi="方正仿宋简体" w:cs="方正仿宋简体"/>
                <w:b/>
                <w:bCs/>
                <w:color w:val="000000"/>
                <w:kern w:val="0"/>
                <w:sz w:val="21"/>
                <w:szCs w:val="21"/>
              </w:rPr>
              <w:t>.</w:t>
            </w:r>
            <w:r>
              <w:rPr>
                <w:rFonts w:hint="eastAsia" w:hAnsi="方正仿宋简体" w:cs="方正仿宋简体"/>
                <w:b/>
                <w:color w:val="000000"/>
                <w:kern w:val="0"/>
                <w:sz w:val="21"/>
                <w:szCs w:val="21"/>
              </w:rPr>
              <w:t>《粮食流通管理条例》第三十八条：“粮食和储备行政管理部门依照本条例对粮食经营者从事粮食收购、储存、运输活动和政策性粮食的购销活动，以及执行国家粮食流通统计制度的情况进行监督检查。”</w:t>
            </w:r>
          </w:p>
          <w:p>
            <w:pPr>
              <w:widowControl/>
              <w:spacing w:line="300" w:lineRule="exact"/>
              <w:jc w:val="left"/>
              <w:rPr>
                <w:rFonts w:hAnsi="方正仿宋简体" w:cs="方正仿宋简体"/>
                <w:b/>
                <w:bCs/>
                <w:color w:val="000000"/>
                <w:kern w:val="0"/>
                <w:sz w:val="21"/>
                <w:szCs w:val="21"/>
              </w:rPr>
            </w:pPr>
            <w:r>
              <w:rPr>
                <w:rFonts w:hint="eastAsia" w:hAnsi="方正仿宋简体" w:cs="方正仿宋简体"/>
                <w:b/>
                <w:color w:val="000000"/>
                <w:kern w:val="0"/>
                <w:sz w:val="21"/>
                <w:szCs w:val="21"/>
              </w:rPr>
              <w:t>2</w:t>
            </w:r>
            <w:r>
              <w:rPr>
                <w:rFonts w:hint="eastAsia" w:hAnsi="方正仿宋简体" w:cs="方正仿宋简体"/>
                <w:b/>
                <w:bCs/>
                <w:color w:val="000000"/>
                <w:kern w:val="0"/>
                <w:sz w:val="21"/>
                <w:szCs w:val="21"/>
              </w:rPr>
              <w:t>.</w:t>
            </w:r>
            <w:r>
              <w:rPr>
                <w:rFonts w:hint="eastAsia" w:hAnsi="方正仿宋简体" w:cs="方正仿宋简体"/>
                <w:b/>
                <w:color w:val="000000"/>
                <w:kern w:val="0"/>
                <w:sz w:val="21"/>
                <w:szCs w:val="21"/>
              </w:rPr>
              <w:t>《粮食质量安全监管办法》第三条：“县级以上粮食行政管理部门在本级人民政府的统一组织协调下，负责本行政区域粮食收购、储存、运输、加工和销售等经营活动中粮食质量安全的监督管理工作。”</w:t>
            </w:r>
          </w:p>
        </w:tc>
        <w:tc>
          <w:tcPr>
            <w:tcW w:w="1078" w:type="dxa"/>
            <w:noWrap/>
            <w:vAlign w:val="center"/>
          </w:tcPr>
          <w:p>
            <w:pPr>
              <w:widowControl/>
              <w:spacing w:line="300" w:lineRule="exact"/>
              <w:jc w:val="left"/>
              <w:rPr>
                <w:rFonts w:hAnsi="方正仿宋简体" w:cs="方正仿宋简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2"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5</w:t>
            </w:r>
          </w:p>
        </w:tc>
        <w:tc>
          <w:tcPr>
            <w:tcW w:w="88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地方储备粮监督检查</w:t>
            </w:r>
          </w:p>
        </w:tc>
        <w:tc>
          <w:tcPr>
            <w:tcW w:w="704"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企业</w:t>
            </w:r>
          </w:p>
        </w:tc>
        <w:tc>
          <w:tcPr>
            <w:tcW w:w="3628" w:type="dxa"/>
            <w:noWrap/>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1、执行地方储备粮收购、轮换、销售、动用计划情况。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2、地方储备粮库存账实相符、账账相符情况。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3、地方储备粮库存质量安全。</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4、地方储备粮储存安全情况。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5、地方储备粮承储企业仓库条件情况。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6、其他依法依规抽查内容。</w:t>
            </w:r>
          </w:p>
        </w:tc>
        <w:tc>
          <w:tcPr>
            <w:tcW w:w="980"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现场检查</w:t>
            </w:r>
          </w:p>
        </w:tc>
        <w:tc>
          <w:tcPr>
            <w:tcW w:w="106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全年抽查比例不低于5%，抽查频次根据监管需要确定</w:t>
            </w:r>
          </w:p>
        </w:tc>
        <w:tc>
          <w:tcPr>
            <w:tcW w:w="1119" w:type="dxa"/>
            <w:vAlign w:val="center"/>
          </w:tcPr>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市、县粮食和储备部门</w:t>
            </w:r>
          </w:p>
        </w:tc>
        <w:tc>
          <w:tcPr>
            <w:tcW w:w="332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山东省地方储备粮管理办法》第五条：“各级粮食行政管理部门负责本级储备粮的管理工作。省粮食行政管理部门负责对设区的市及以下地方储备粮进行监管。”第三十条：“粮食行政管理部门应当依法对承储企业执行本办法及有关粮食法律、法规、规章情况进行监督检查，并可以在监督检查过程中行使下列职权：（一）进入承储企业检查地方储备粮的数量、质量和储存安全状况；（二）向有关单位和人员了解地方储备粮收购、年度轮换计划及动用命令的执行情况；（三）调阅地方储备粮经营管理的有关资料、凭证；（四）依法查处违法行为。”</w:t>
            </w:r>
          </w:p>
        </w:tc>
        <w:tc>
          <w:tcPr>
            <w:tcW w:w="1078" w:type="dxa"/>
            <w:noWrap/>
            <w:vAlign w:val="center"/>
          </w:tcPr>
          <w:p>
            <w:pPr>
              <w:widowControl/>
              <w:spacing w:line="300" w:lineRule="exact"/>
              <w:rPr>
                <w:rFonts w:hAnsi="方正仿宋简体" w:cs="方正仿宋简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2"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6</w:t>
            </w:r>
          </w:p>
        </w:tc>
        <w:tc>
          <w:tcPr>
            <w:tcW w:w="88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粮食库存检查</w:t>
            </w:r>
          </w:p>
        </w:tc>
        <w:tc>
          <w:tcPr>
            <w:tcW w:w="704"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企业</w:t>
            </w:r>
          </w:p>
        </w:tc>
        <w:tc>
          <w:tcPr>
            <w:tcW w:w="3628" w:type="dxa"/>
            <w:noWrap/>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1、粮食库存账实相符、账账相符情况。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2、库存粮食质量安全情况。结合落实粮食质量安全属地管理责任，重点检查地方储备粮质量指标、储存品质指标和食品安全指标。</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3、地方储备粮轮换情况。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4、企业安全储粮等情况。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5、企业仓储管理等情况。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6、其他依法依规抽查内容。</w:t>
            </w:r>
          </w:p>
        </w:tc>
        <w:tc>
          <w:tcPr>
            <w:tcW w:w="980"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现场检查</w:t>
            </w:r>
          </w:p>
        </w:tc>
        <w:tc>
          <w:tcPr>
            <w:tcW w:w="106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全年抽查比例不低于5%，抽查频次根据监管需要确定</w:t>
            </w:r>
          </w:p>
        </w:tc>
        <w:tc>
          <w:tcPr>
            <w:tcW w:w="111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市、县粮食和储备部门</w:t>
            </w:r>
          </w:p>
        </w:tc>
        <w:tc>
          <w:tcPr>
            <w:tcW w:w="332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 xml:space="preserve">1.《粮食流通管理条例》第三十八条：“粮食和储备行政管理部门依照本条例对粮食经营者从事粮食收购、储存、运输活动和政策性粮食的购销活动，以及执行国家粮食流通统计制度的情况进行监督检查。”                              </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 xml:space="preserve"> 2.《粮油仓储管理办法》《粮油仓储管理办法》第五条：“县级以上地方人民政府粮食行政管理部门负责本行政区域的粮油仓储监督管理工作。”</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3.《国有粮油仓储物流设施保护办法》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                                     4.《粮食质量安全监管办法》第三条：“县级以上粮食行政管理部门在本级人民政府的统一组织协调下，负责本行政区域粮食收购、储存、运输、加工和销售等经营活动中粮食质量安全的监督管理工作。”</w:t>
            </w:r>
          </w:p>
        </w:tc>
        <w:tc>
          <w:tcPr>
            <w:tcW w:w="1078" w:type="dxa"/>
            <w:noWrap/>
            <w:vAlign w:val="center"/>
          </w:tcPr>
          <w:p>
            <w:pPr>
              <w:widowControl/>
              <w:spacing w:line="300" w:lineRule="exact"/>
              <w:rPr>
                <w:rFonts w:hAnsi="方正仿宋简体" w:cs="方正仿宋简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2" w:hRule="atLeast"/>
          <w:jc w:val="center"/>
        </w:trPr>
        <w:tc>
          <w:tcPr>
            <w:tcW w:w="530"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7</w:t>
            </w:r>
          </w:p>
        </w:tc>
        <w:tc>
          <w:tcPr>
            <w:tcW w:w="88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粮食流通市场监督检查</w:t>
            </w:r>
          </w:p>
        </w:tc>
        <w:tc>
          <w:tcPr>
            <w:tcW w:w="704"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企业、个体工商户</w:t>
            </w:r>
          </w:p>
        </w:tc>
        <w:tc>
          <w:tcPr>
            <w:tcW w:w="3628" w:type="dxa"/>
            <w:noWrap/>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1、粮食收购者备案情况。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2、粮食收购者执行质量标准情况。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3、粮食收购者支付售粮款情况。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4、粮食经营者建立台账和报送统计数据情况。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5、陈粮出库进行质量鉴定情况。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6、粮食经营者执行最低最高库存量情况。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7、粮食经营者使用仓储设施、运输工具情况。</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8、其他有关粮食流通的法律、法规、政策及各项规章制度的执行情况。</w:t>
            </w:r>
          </w:p>
        </w:tc>
        <w:tc>
          <w:tcPr>
            <w:tcW w:w="980"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一般检查事项</w:t>
            </w:r>
          </w:p>
        </w:tc>
        <w:tc>
          <w:tcPr>
            <w:tcW w:w="638" w:type="dxa"/>
            <w:vAlign w:val="center"/>
          </w:tcPr>
          <w:p>
            <w:pPr>
              <w:widowControl/>
              <w:spacing w:line="300" w:lineRule="exact"/>
              <w:jc w:val="center"/>
              <w:rPr>
                <w:rFonts w:hAnsi="方正仿宋简体" w:cs="方正仿宋简体"/>
                <w:b/>
                <w:color w:val="000000"/>
                <w:kern w:val="0"/>
                <w:sz w:val="21"/>
                <w:szCs w:val="21"/>
              </w:rPr>
            </w:pPr>
            <w:r>
              <w:rPr>
                <w:rFonts w:hint="eastAsia" w:hAnsi="方正仿宋简体" w:cs="方正仿宋简体"/>
                <w:b/>
                <w:color w:val="000000"/>
                <w:kern w:val="0"/>
                <w:sz w:val="21"/>
                <w:szCs w:val="21"/>
              </w:rPr>
              <w:t>现场检查</w:t>
            </w:r>
          </w:p>
        </w:tc>
        <w:tc>
          <w:tcPr>
            <w:tcW w:w="1066"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全年抽查比例不低于5%，抽查频次根据监管需要确定</w:t>
            </w:r>
          </w:p>
        </w:tc>
        <w:tc>
          <w:tcPr>
            <w:tcW w:w="111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市、县粮食和储备部门</w:t>
            </w:r>
          </w:p>
        </w:tc>
        <w:tc>
          <w:tcPr>
            <w:tcW w:w="3329" w:type="dxa"/>
            <w:vAlign w:val="center"/>
          </w:tcPr>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 xml:space="preserve">1.《粮食流通管理条例》第三十八条：“粮食和储备行政管理部门依照本条例对粮食经营者从事粮食收购、储存、运输活动和政策性粮食的购销活动，以及执行国家粮食流通统计制度的情况进行监督检查。”                               </w:t>
            </w:r>
          </w:p>
          <w:p>
            <w:pPr>
              <w:widowControl/>
              <w:spacing w:line="300" w:lineRule="exact"/>
              <w:rPr>
                <w:rFonts w:hAnsi="方正仿宋简体" w:cs="方正仿宋简体"/>
                <w:b/>
                <w:color w:val="000000"/>
                <w:kern w:val="0"/>
                <w:sz w:val="21"/>
                <w:szCs w:val="21"/>
              </w:rPr>
            </w:pPr>
            <w:r>
              <w:rPr>
                <w:rFonts w:hint="eastAsia" w:hAnsi="方正仿宋简体" w:cs="方正仿宋简体"/>
                <w:b/>
                <w:color w:val="000000"/>
                <w:kern w:val="0"/>
                <w:sz w:val="21"/>
                <w:szCs w:val="21"/>
              </w:rPr>
              <w:t>2.《粮油仓储管理办法》第五条：“县级以上地方人民政府粮食行政管理部门负责本行政区域的粮油仓储监督管理工作。”</w:t>
            </w:r>
          </w:p>
          <w:p>
            <w:pPr>
              <w:widowControl/>
              <w:spacing w:line="300" w:lineRule="exact"/>
              <w:jc w:val="left"/>
              <w:rPr>
                <w:rFonts w:hAnsi="方正仿宋简体" w:cs="方正仿宋简体"/>
                <w:b/>
                <w:color w:val="000000"/>
                <w:kern w:val="0"/>
                <w:sz w:val="21"/>
                <w:szCs w:val="21"/>
              </w:rPr>
            </w:pPr>
            <w:r>
              <w:rPr>
                <w:rFonts w:hint="eastAsia" w:hAnsi="方正仿宋简体" w:cs="方正仿宋简体"/>
                <w:b/>
                <w:color w:val="000000"/>
                <w:kern w:val="0"/>
                <w:sz w:val="21"/>
                <w:szCs w:val="21"/>
              </w:rPr>
              <w:t>3.《国有粮油仓储物流设施保护办法》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                                     4.《粮食质量安全监管办法》第三条：“县级以上粮食行政管理部门在本级人民政府的统一组织协调下，负责本行政区域粮食收购、储存、运输、加工和销售等经营活动中粮食质量安全的监督管理工作。”</w:t>
            </w:r>
          </w:p>
        </w:tc>
        <w:tc>
          <w:tcPr>
            <w:tcW w:w="1078" w:type="dxa"/>
            <w:noWrap/>
            <w:vAlign w:val="center"/>
          </w:tcPr>
          <w:p>
            <w:pPr>
              <w:widowControl/>
              <w:spacing w:line="300" w:lineRule="exact"/>
              <w:rPr>
                <w:rFonts w:hAnsi="方正仿宋简体" w:cs="方正仿宋简体"/>
                <w:b/>
                <w:color w:val="000000"/>
                <w:kern w:val="0"/>
                <w:sz w:val="21"/>
                <w:szCs w:val="21"/>
              </w:rPr>
            </w:pPr>
          </w:p>
        </w:tc>
      </w:tr>
    </w:tbl>
    <w:p>
      <w:pPr>
        <w:spacing w:line="600" w:lineRule="exact"/>
        <w:ind w:firstLine="643" w:firstLineChars="200"/>
        <w:rPr>
          <w:b/>
        </w:rPr>
        <w:sectPr>
          <w:headerReference r:id="rId3" w:type="default"/>
          <w:footerReference r:id="rId5" w:type="default"/>
          <w:headerReference r:id="rId4" w:type="even"/>
          <w:footerReference r:id="rId6" w:type="even"/>
          <w:pgSz w:w="16840" w:h="11907" w:orient="landscape"/>
          <w:pgMar w:top="1418" w:right="1134" w:bottom="1134" w:left="1418" w:header="851" w:footer="1134" w:gutter="0"/>
          <w:pgNumType w:fmt="numberInDash"/>
          <w:cols w:space="425" w:num="1"/>
          <w:docGrid w:type="lines" w:linePitch="312" w:charSpace="0"/>
        </w:sectPr>
      </w:pPr>
    </w:p>
    <w:p>
      <w:pPr>
        <w:rPr>
          <w:rFonts w:hAnsi="方正仿宋简体" w:cs="方正仿宋简体"/>
          <w:b/>
          <w:bCs/>
          <w:szCs w:val="32"/>
        </w:rPr>
      </w:pPr>
      <w:bookmarkStart w:id="1" w:name="_GoBack"/>
      <w:bookmarkEnd w:id="1"/>
    </w:p>
    <w:sectPr>
      <w:headerReference r:id="rId7" w:type="default"/>
      <w:footerReference r:id="rId9" w:type="default"/>
      <w:headerReference r:id="rId8" w:type="even"/>
      <w:footerReference r:id="rId10" w:type="even"/>
      <w:pgSz w:w="11907" w:h="16840"/>
      <w:pgMar w:top="1418" w:right="1588" w:bottom="1418"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0" allowOverlap="1">
              <wp:simplePos x="0" y="0"/>
              <wp:positionH relativeFrom="leftMargin">
                <wp:posOffset>563245</wp:posOffset>
              </wp:positionH>
              <wp:positionV relativeFrom="margin">
                <wp:posOffset>4972050</wp:posOffset>
              </wp:positionV>
              <wp:extent cx="510540" cy="628650"/>
              <wp:effectExtent l="0" t="0" r="0" b="0"/>
              <wp:wrapNone/>
              <wp:docPr id="11" name="矩形 3"/>
              <wp:cNvGraphicFramePr/>
              <a:graphic xmlns:a="http://schemas.openxmlformats.org/drawingml/2006/main">
                <a:graphicData uri="http://schemas.microsoft.com/office/word/2010/wordprocessingShape">
                  <wps:wsp>
                    <wps:cNvSpPr>
                      <a:spLocks noChangeArrowheads="1"/>
                    </wps:cNvSpPr>
                    <wps:spPr bwMode="auto">
                      <a:xfrm>
                        <a:off x="0" y="0"/>
                        <a:ext cx="510540" cy="628650"/>
                      </a:xfrm>
                      <a:prstGeom prst="rect">
                        <a:avLst/>
                      </a:prstGeom>
                      <a:noFill/>
                    </wps:spPr>
                    <wps:txbx>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29 -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44.35pt;margin-top:462.4pt;height:49.5pt;width:40.2pt;mso-position-horizontal-relative:page;mso-position-vertical-relative:page;z-index:251663360;v-text-anchor:middle;mso-width-relative:page;mso-height-relative:page;" filled="f" stroked="f" coordsize="21600,21600" o:allowincell="f" o:gfxdata="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jChnY&#10;AAAACgEAAA8AAAAAAAAAAQAgAAAAIgAAAGRycy9kb3ducmV2LnhtbFBLAQIUABQAAAAIAIdO4kDr&#10;W5o25wEAAKQDAAAOAAAAAAAAAAEAIAAAACcBAABkcnMvZTJvRG9jLnhtbFBLBQYAAAAABgAGAFkB&#10;AACABQAAAAA=&#10;">
              <v:fill on="f" focussize="0,0"/>
              <v:stroke on="f"/>
              <v:imagedata o:title=""/>
              <o:lock v:ext="edit" aspectratio="f"/>
              <v:textbox style="layout-flow:vertical;mso-fit-shape-to-text:t;">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29 -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806709"/>
    </w:sdtPr>
    <w:sdtContent>
      <w:p>
        <w:pPr>
          <w:pStyle w:val="4"/>
          <w:jc w:val="right"/>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47 -</w:t>
        </w:r>
        <w:r>
          <w:rPr>
            <w:rFonts w:asciiTheme="majorEastAsia" w:hAnsiTheme="majorEastAsia" w:eastAsiaTheme="majorEastAsia"/>
            <w:b/>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317981"/>
    </w:sdtPr>
    <w:sdtEndPr>
      <w:rPr>
        <w:rFonts w:asciiTheme="majorEastAsia" w:hAnsiTheme="majorEastAsia" w:eastAsiaTheme="majorEastAsia"/>
        <w:b/>
        <w:sz w:val="28"/>
        <w:szCs w:val="28"/>
      </w:rPr>
    </w:sdtEndPr>
    <w:sdtContent>
      <w:p>
        <w:pPr>
          <w:pStyle w:val="4"/>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48 -</w:t>
        </w:r>
        <w:r>
          <w:rPr>
            <w:rFonts w:asciiTheme="majorEastAsia" w:hAnsiTheme="majorEastAsia" w:eastAsiaTheme="maj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168472"/>
    </w:sdtPr>
    <w:sdtContent>
      <w:p>
        <w:pPr>
          <w:pStyle w:val="5"/>
          <w:pBdr>
            <w:bottom w:val="none" w:color="auto" w:sz="0" w:space="0"/>
          </w:pBdr>
        </w:pPr>
        <w:r>
          <mc:AlternateContent>
            <mc:Choice Requires="wps">
              <w:drawing>
                <wp:anchor distT="0" distB="0" distL="114300" distR="114300" simplePos="0" relativeHeight="251661312" behindDoc="0" locked="0" layoutInCell="0" allowOverlap="1">
                  <wp:simplePos x="0" y="0"/>
                  <wp:positionH relativeFrom="leftMargin">
                    <wp:posOffset>563245</wp:posOffset>
                  </wp:positionH>
                  <wp:positionV relativeFrom="margin">
                    <wp:posOffset>140970</wp:posOffset>
                  </wp:positionV>
                  <wp:extent cx="510540" cy="2183130"/>
                  <wp:effectExtent l="0" t="0" r="0" b="0"/>
                  <wp:wrapNone/>
                  <wp:docPr id="10"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30 -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44.35pt;margin-top:82pt;height:171.9pt;width:40.2pt;mso-position-horizontal-relative:page;mso-position-vertical-relative:page;z-index:251661312;v-text-anchor:middle;mso-width-relative:page;mso-height-relative:page;" filled="f" stroked="f" coordsize="21600,21600" o:allowincell="f" o:gfxdata="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RfZ&#10;BNkAAAAJAQAADwAAAAAAAAABACAAAAAiAAAAZHJzL2Rvd25yZXYueG1sUEsBAhQAFAAAAAgAh07i&#10;QKPQow3oAQAApQMAAA4AAAAAAAAAAQAgAAAAKAEAAGRycy9lMm9Eb2MueG1sUEsFBgAAAAAGAAYA&#10;WQEAAIIFAAAAAA==&#10;">
                  <v:fill on="f" focussize="0,0"/>
                  <v:stroke on="f"/>
                  <v:imagedata o:title=""/>
                  <o:lock v:ext="edit" aspectratio="f"/>
                  <v:textbox style="layout-flow:vertical;mso-fit-shape-to-text:t;">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30 -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F0"/>
    <w:rsid w:val="00017BB7"/>
    <w:rsid w:val="00024B0B"/>
    <w:rsid w:val="00037522"/>
    <w:rsid w:val="00075FE4"/>
    <w:rsid w:val="000B2FC9"/>
    <w:rsid w:val="000F0321"/>
    <w:rsid w:val="001300B5"/>
    <w:rsid w:val="00177B32"/>
    <w:rsid w:val="00192D29"/>
    <w:rsid w:val="00204446"/>
    <w:rsid w:val="00214678"/>
    <w:rsid w:val="00253E24"/>
    <w:rsid w:val="002659A3"/>
    <w:rsid w:val="00270EEA"/>
    <w:rsid w:val="00296C81"/>
    <w:rsid w:val="002B1E2F"/>
    <w:rsid w:val="002B4DE8"/>
    <w:rsid w:val="002C31C1"/>
    <w:rsid w:val="00307DF3"/>
    <w:rsid w:val="00382619"/>
    <w:rsid w:val="00390B5B"/>
    <w:rsid w:val="00395FB2"/>
    <w:rsid w:val="003B4A2B"/>
    <w:rsid w:val="003C429A"/>
    <w:rsid w:val="003C76DA"/>
    <w:rsid w:val="003D3B18"/>
    <w:rsid w:val="00403590"/>
    <w:rsid w:val="00423689"/>
    <w:rsid w:val="004403EB"/>
    <w:rsid w:val="00443708"/>
    <w:rsid w:val="00497AD3"/>
    <w:rsid w:val="004B7578"/>
    <w:rsid w:val="004D5B37"/>
    <w:rsid w:val="004F451F"/>
    <w:rsid w:val="005C4BA4"/>
    <w:rsid w:val="005C7ABB"/>
    <w:rsid w:val="00656EF4"/>
    <w:rsid w:val="00697392"/>
    <w:rsid w:val="006A6943"/>
    <w:rsid w:val="006B2801"/>
    <w:rsid w:val="00755569"/>
    <w:rsid w:val="007626DF"/>
    <w:rsid w:val="00775885"/>
    <w:rsid w:val="00790548"/>
    <w:rsid w:val="007A472D"/>
    <w:rsid w:val="007E227A"/>
    <w:rsid w:val="007E5447"/>
    <w:rsid w:val="008005EE"/>
    <w:rsid w:val="00813954"/>
    <w:rsid w:val="0082112B"/>
    <w:rsid w:val="00832F48"/>
    <w:rsid w:val="008416F0"/>
    <w:rsid w:val="00851FAB"/>
    <w:rsid w:val="008544FB"/>
    <w:rsid w:val="00862997"/>
    <w:rsid w:val="008A3131"/>
    <w:rsid w:val="008A6D29"/>
    <w:rsid w:val="008C3D06"/>
    <w:rsid w:val="008C57D0"/>
    <w:rsid w:val="00922179"/>
    <w:rsid w:val="00926136"/>
    <w:rsid w:val="00985F4C"/>
    <w:rsid w:val="0098635F"/>
    <w:rsid w:val="009A0672"/>
    <w:rsid w:val="00A04174"/>
    <w:rsid w:val="00A20AD9"/>
    <w:rsid w:val="00A22927"/>
    <w:rsid w:val="00A27D7D"/>
    <w:rsid w:val="00A35347"/>
    <w:rsid w:val="00A42FAD"/>
    <w:rsid w:val="00A450FF"/>
    <w:rsid w:val="00A46E69"/>
    <w:rsid w:val="00A4734D"/>
    <w:rsid w:val="00A73B97"/>
    <w:rsid w:val="00A75133"/>
    <w:rsid w:val="00A83AF6"/>
    <w:rsid w:val="00AC0B40"/>
    <w:rsid w:val="00AC41E9"/>
    <w:rsid w:val="00AC5015"/>
    <w:rsid w:val="00AF56B6"/>
    <w:rsid w:val="00B21A4F"/>
    <w:rsid w:val="00B52FDC"/>
    <w:rsid w:val="00B6059E"/>
    <w:rsid w:val="00B664BF"/>
    <w:rsid w:val="00B978A5"/>
    <w:rsid w:val="00BE53B4"/>
    <w:rsid w:val="00C02861"/>
    <w:rsid w:val="00C073BE"/>
    <w:rsid w:val="00C42926"/>
    <w:rsid w:val="00C57E8B"/>
    <w:rsid w:val="00CA356C"/>
    <w:rsid w:val="00CD7D4F"/>
    <w:rsid w:val="00D10141"/>
    <w:rsid w:val="00D1794A"/>
    <w:rsid w:val="00D419B0"/>
    <w:rsid w:val="00D832F2"/>
    <w:rsid w:val="00D916D4"/>
    <w:rsid w:val="00D94536"/>
    <w:rsid w:val="00DA42BA"/>
    <w:rsid w:val="00DA6FE9"/>
    <w:rsid w:val="00DB7001"/>
    <w:rsid w:val="00DC706F"/>
    <w:rsid w:val="00DD5F93"/>
    <w:rsid w:val="00DD6494"/>
    <w:rsid w:val="00E0184C"/>
    <w:rsid w:val="00E72F04"/>
    <w:rsid w:val="00E94DCD"/>
    <w:rsid w:val="00E94F84"/>
    <w:rsid w:val="00EC5583"/>
    <w:rsid w:val="00ED008F"/>
    <w:rsid w:val="00ED105C"/>
    <w:rsid w:val="00EE029D"/>
    <w:rsid w:val="00F02DC3"/>
    <w:rsid w:val="00F104CF"/>
    <w:rsid w:val="00F50F67"/>
    <w:rsid w:val="00F76864"/>
    <w:rsid w:val="00FE370F"/>
    <w:rsid w:val="051215D2"/>
    <w:rsid w:val="1F393989"/>
    <w:rsid w:val="22A121D1"/>
    <w:rsid w:val="2CB171A5"/>
    <w:rsid w:val="56A8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eastAsia="方正仿宋简体" w:hAnsiTheme="minorHAnsi" w:cstheme="minorBidi"/>
      <w:kern w:val="2"/>
      <w:sz w:val="32"/>
      <w:szCs w:val="22"/>
      <w:lang w:val="en-US" w:eastAsia="zh-CN" w:bidi="ar-SA"/>
    </w:rPr>
  </w:style>
  <w:style w:type="paragraph" w:styleId="2">
    <w:name w:val="heading 1"/>
    <w:basedOn w:val="1"/>
    <w:next w:val="1"/>
    <w:qFormat/>
    <w:uiPriority w:val="0"/>
    <w:pPr>
      <w:keepNext/>
      <w:keepLines/>
      <w:ind w:left="300" w:leftChars="300"/>
      <w:outlineLvl w:val="0"/>
    </w:pPr>
    <w:rPr>
      <w:rFonts w:eastAsia="黑体"/>
      <w:b/>
      <w:kern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eastAsiaTheme="minorEastAsia"/>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eastAsiaTheme="minorEastAsia"/>
      <w:sz w:val="18"/>
      <w:szCs w:val="18"/>
    </w:rPr>
  </w:style>
  <w:style w:type="paragraph" w:styleId="6">
    <w:name w:val="Normal (Web)"/>
    <w:basedOn w:val="1"/>
    <w:qFormat/>
    <w:uiPriority w:val="0"/>
    <w:rPr>
      <w:rFonts w:asciiTheme="minorHAnsi" w:eastAsiaTheme="minorEastAsia"/>
      <w:sz w:val="24"/>
      <w:szCs w:val="24"/>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rFonts w:ascii="方正仿宋简体"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2885</Words>
  <Characters>16449</Characters>
  <Lines>137</Lines>
  <Paragraphs>38</Paragraphs>
  <TotalTime>1</TotalTime>
  <ScaleCrop>false</ScaleCrop>
  <LinksUpToDate>false</LinksUpToDate>
  <CharactersWithSpaces>19296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2021-08-25T01:22:00Z</dcterms:created>
  <dc:creator>排版</dc:creator>
  <cp:lastModifiedBy>Administrator</cp:lastModifiedBy>
  <cp:lastPrinted>2021-08-25T08:10:00Z</cp:lastPrinted>
  <dcterms:modified xsi:type="dcterms:W3CDTF">2021-09-29T10:40:14Z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